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80"/>
      </w:pPr>
      <w:r>
        <w:rPr>
          <w:rFonts w:ascii="Times" w:hAnsi="Times" w:cs="Times"/>
          <w:sz w:val="34"/>
          <w:sz-cs w:val="34"/>
        </w:rPr>
        <w:t xml:space="preserve">Developmental Behavior Checklist 2</w:t>
      </w:r>
    </w:p>
    <w:p>
      <w:pPr>
        <w:spacing w:before="460" w:after="300"/>
      </w:pPr>
      <w:r>
        <w:rPr>
          <w:rFonts w:ascii="Times" w:hAnsi="Times" w:cs="Times"/>
          <w:sz w:val="24"/>
          <w:sz-cs w:val="24"/>
          <w:b/>
          <w:color w:val="333333"/>
        </w:rPr>
        <w:t xml:space="preserve">Full Text</w:t>
      </w:r>
    </w:p>
    <w:p>
      <w:pPr>
        <w:ind w:right="160"/>
        <w:spacing w:before="460" w:after="300"/>
      </w:pPr>
      <w:r>
        <w:rPr>
          <w:rFonts w:ascii="Times" w:hAnsi="Times" w:cs="Times"/>
          <w:sz w:val="20"/>
          <w:sz-cs w:val="20"/>
          <w:color w:val="005BC6"/>
        </w:rPr>
        <w:t xml:space="preserve">Listen</w:t>
      </w:r>
      <w:r>
        <w:rPr>
          <w:rFonts w:ascii="Times" w:hAnsi="Times" w:cs="Times"/>
          <w:sz w:val="24"/>
          <w:sz-cs w:val="24"/>
        </w:rPr>
        <w:t xml:space="preserve"/>
      </w:r>
    </w:p>
    <w:p>
      <w:pPr>
        <w:spacing w:before="460" w:after="300"/>
      </w:pPr>
      <w:r>
        <w:rPr>
          <w:rFonts w:ascii="Times" w:hAnsi="Times" w:cs="Times"/>
          <w:sz w:val="20"/>
          <w:sz-cs w:val="20"/>
          <w:i/>
          <w:color w:val="595959"/>
        </w:rPr>
        <w:t xml:space="preserve">Review of the Developmental Behavior Checklist 2 by RYAN J. KETTLER, Associate Professor, Rutgers University, New Brunswick, NJ, and LEAH DEMBITZER, Assistant Professor, Concordia College New York, Bronxville, NY:</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DESCRIPTION. The Developmental Behavior Checklist 2 (DBC2) is a rating scale that assesses emotional and behavioral difficulties in individuals with intellectual and developmental disabilities (IDD). The measure contains three forms: (a) the DBC2-P for parents and caregivers of individuals ages 4 to 18, (b) the DBC2-T for teachers of individuals ages 4 to 18, and (c) the DBC2-A for adults who are rating other adults ages 18 and older. There is some variation in the number of items per form, from 94 items on the DBC2-T to 107 items on the DBC2-A; all items are rated on a 3-point scale. The test yields a Total Score and five subscale scores in the form of T scores that take into account the categories of IDD (i.e., mild, moderate, severe, profound). In addition, each form contains “flagged” critical items. For the child versions, the five subscales are Disruptive, Self-Absorbed, Communication Disturbance, Anxiety, and Social Relating. For the adult version, the subscales are Disruptive, Communication and Anxiety Disturbance, Self-Absorbed, Depressive, and Social Relating. In addition, three scores provide information about the range and intensity of the difficulties: Mean Item Score, Proportion of Items Checked, and Intensity Score.</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test authors provide examples of some applications of the DBC2 including (a) to complement an initial assessment in a clinical setting, (b) for use as a pre- and post-measure for intervention monitoring, (c) to provide standardized documentation of behavior for service planning purposes, and (d) for use as a screening tool to identify individuals at risk for emotional and behavioral difficulties.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Administration. The DBC2 is administered electronically on the test publisher’s online platform or on paper. Administration is untimed and is generally completed within 20 minutes. The professional manual provides instructions for administration and guidelines for interpreting the results and cautions that the DBC2 is intended for use by practitioners in mental health or related fields with relevant assessment qualifications.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Scoring. The DBC2 is scored online, and a score report is generated automatically. Raw scores, T scores, and ranges of concern are provided for the Total Score and the subscales. A 95% confidence interval and clinical cutoff score are provided for the Total Score. All T scores also are presented on a plotted chart, and flagged items that have been endorsed are listed along with the Mean Item Score, Proportion of Items Checked, and Intensity Score. There is an option to generate a report for monitoring progress based on multiple administrations at different points in time as well as an option to compare forms from different respondents. Results from the DBC2-P and DBC2-T can be compared; the DBC2-A can be compared only with other DBC2-A forms. Up to five specific items can be selected to administer and include in a daily Item Level Progress Monitoring Report.</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DEVELOPMENT. The first iteration of the DBC was developed by coding the descriptive data from the developmental and psychological assessment of 1,000 children with intellectual disabilities in Australia. The descriptive data were consolidated into 135 descriptions, which were then reviewed by four experts (psychiatrists and psychologists), and 95 descriptions were retained. The DBC was then written in parent-friendly language, and a highly parallel teacher form was developed as well. The subscales were derived through exploratory factor analytic procedures and confirmed with confirmatory factor analytic procedures. The 106 items on the adult form were developed through the coding of 660 clinical files and the evaluation of items on the DBC-P form. Factor analytic procedures were used to determine the factor structure. In developing the DBC2, the authors indicated minimal changes were made to the subscale structure based on Jackson’s (1971) method of review of subscale structure. On the parent and teacher forms, three items were moved among subscales for the DBC2 revision, five items were deleted, and four items were added to a subscale. For the adult form, seven items were moved among subscales, four were deleted, and two items were added to a subscale.</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TECHNICAL.</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Standardization. Norming samples were collected for both the child population (for the DBC2-P and the DBC2-T) and the adult population (for the DBC2-A). Both samples included only persons diagnosed with IDD.</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child norming sample was based on 1,154 ratings of 593 children ages 4 to 18. The sample was acceptably matched to the U.S. population regarding ethnicity/race, parents’ educational levels, and geographic region. Frequencies and percentages of the sample were available for groups labeled as Asian, Black/African American, Hispanic/Latino, Native American, White, Multiple, and Other. The sample included more male children (n = 350, 59.0%) than female children (n = 243, 41.0%). The sample included an even balance of children with mild (n = 186, 31.4%), moderate (n = 181, 30.5%), and severe IDD (n = 165, 27.8%), with a somewhat lower proportion in the profound category (n = 61, 10.3%).</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adult norming sample was based on 330 individuals with IDD, ages 18 to 89, rated once each by a caregiver or relative. This sample also was acceptably matched to the U.S. population regarding ethnicity/race, although Asians were somewhat underrepresented (1.5% of the sample compared to 5.1% of the population) and Native Americans were somewhat overrepresented (4.5% versus 0.7%). Frequencies and percentages of the sample were also available for groups labeled as Black/African American, Hispanic/Latino, White, Multiple, and Other. By geographic region, the sample was only moderately matched to the U.S. population; as the test authors noted, mismatch with geographic region is unlikely to impact the functioning of this measure. The sample included slightly more male adults (n = 185, 56.1%) than female adults (n = 145, 43.9%). The sample included an even balance of individuals with mild (n = 128, 38.8%) and moderate (n = 121, 36.7%) IDD, with somewhat lower proportions in the severe (n = 49, 14.8%) and profound (n = 32, 9.7%) categories.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Because large effect sizes were observed between degree of IDD and DBC2 scores, scores are provided using subsamples of degree of IDD (e.g., mild, moderate) as well as the entire child and adult samples as reference groups. These scores for subsamples are based on much smaller samples. In addition to the U.S. norming samples, the test authors provided information on the original Australian sample.</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Reliability. Reliability evidence is provided in three forms: coefficient alpha, test-retest stability, and cross-informant agreement. Alpha coefficients exceeded .94 at the Total Score level for all three forms, regardless of whether the calculation was based on the full sample or a category-specific subsample. For the child forms, alpha coefficients were higher for the Disruptive and Self-Absorbed subscales (coefficients ranged from .87 to .95 across forms and samples) than for the other three subscales (coefficients ranged from .61 to .85 across forms and samples). For the adult form, coefficients were higher for the Disruptive subscale (range of .92 to .94 across samples) than for the Communication and Anxiety Disturbance and Self-Absorbed subscales (range of .83 to .87 across samples), which were higher than for the Depressive and Social Relating subscales (range of .71 to .81 across samples). Based on an interval of 1 to 3 weeks, test-retest stability was in the very high to nearly perfect range; rs ranged from .84 to .99, and effect sizes for score changes ranged from 0.01 to 0.16. Cross-informant agreement was presented for the child form using interclass correlations, which ranged from .53 to .97. Additional reliability evidence was provided from the original DBC, based on the rationale that the DBC2 has the same items and Total Score and very similar subscales as the original measure.</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Validity Evidence Based on Content. The test authors based item development for the original DBC on qualitative analysis of behavioral disorders within files of persons already diagnosed with IDD. No quantitative nor evaluative review of DBC2 content, in either pilot or final form, was reported. A focus group of parents of children with autism spectrum disorder endorsed the original DBC as the best of four measures of behavior with regard to several accessibility and content validity characteristics (Chandler et al., 2016).</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Validity Evidence Based on Internal Structure. The five subscales of the original DBC for children were derived using exploratory factor analysis, then subsequently validated through confirmatory factor analysis (Einfeld &amp; Tonge, 1995) and other factor analytic studies (Dekker, Nunn, Einfeld, Tonge, &amp; Koot, 2002). To develop the DBC2, its authors used a process that favors maximizing item-to-total correlations within subscales (Jackson, 1971). Although items were moved between subscales to create the second edition, no additional evidence of internal structure (e.g., confirmatory factor analysis, correlations among subscales) was reported for the DBC2.</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Validity Evidence Based on Relations to Other Variables. Evidence based on relations to other variables was not collected for the DBC2; psychometric evidence from the original DBC was included in the test manual. Convergent validity evidence for the DBC (child version) Total Score has been found with positive correlations with measures of behavioral difficulties in the very large range (rs = .72 to .86). Discriminant validity has been found with negative correlations in the nonexistent range (r = -.06) to medium range (r = -.43) with measures of adaptive behavior (Dekker et al., 2002). DBC-P total scores also correlated in the very large range (r = .81) with independent ratings of the severity of emotional and behavioral difficulties (Einfield &amp; Tonge, 1995), and scores were found to be higher for children with previous clinical diagnoses based on the Diagnostic and Statistical Manual of Mental Disorders (4th ed., text rev.; DSM-IV-TR; American Psychiatric Association, 2000; Dekker, Nunn, &amp; Koot, 2002).</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Convergent validity evidence also has been reported for the DBC-A. The Total Score has been found to correlate in the large to very large range (rs = .61 to .77) with measures of behavioral difficulties.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COMMENTARY. Across forms, the arguments for interpretation of DBC2 scores are limited. Although the norming samples for the measures are acceptable (593 children and 330 adults), interpretation is recommended based on specific category of IDD, for which the samples are smaller (165 to 186 for mild, moderate, and severe IDD) and much smaller for profound IDD (n = 61) yielding potentially less accurate normative scores. The Total Score is internally consistent enough for interpretation as part of high-stakes decision making, as are some of the subscales across forms of the DBC2. Communication Disturbance on the DBC2-P and DBC2-T and Depressive and Social Relating on the DBC2-A are subscales that may be appropriate to use as part of low-stakes decision making. Anxiety and Social Relating on the DBC2-P and DBC2-T are not internally consistent enough to be used as part of decision making. Evidence of test stability was strong.</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lack of several types of evidence of validity is problematic. Evidence based on response processes was not included; including a validity index on the scales could have partially addressed this evidence. The lack of evidence based on internal structure is problematic given the re-organization of several items between subscales; evidence for the DBC internal structure is not sufficient for the revision. In the same area, a correlation matrix of subscale scores would provide some evidence if it indicated there exists substantial divergence among the various scales. The evidence based on relations with other variables presented is acceptable for the Total Score; the evidence based on subscales of the original DBC is not entirely relevant because of the shifting of items for the DBC2 revision.</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SUMMARY. The DBC2 may be an appropriate test for some of its proposed applications. The biggest limitations of the assessment are the following: the DBC2 normative subsamples by IDD category are small, several subscales are not internally consistent, and validity evidence is based largely on the previous version of the measure. The Total Score and the more internally consistent subscales may be used to complement an initial assessment and for intervention monitoring. Those scores also may be used for standardized documentation, although interpreters should be mindful of whether they are using the full sample (yielding a likely more accurate normative score across categories of IDD) or the category-specific subsample (yielding a likely less accurate normative score specific to category). Typical evidence of the validity of screening scores, such as classification accuracy for predicting criteria, was not provided for the DBC2.</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REVIEWERS’ REFERENCES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American Psychiatric Association. (2000). Diagnostic and statistical manual of mental disorders (4th ed., text rev.). Washington, DC: Author.</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Chandler, S., Howlin, P., Simonoff, E., O’Sullivan, T., Tseng, E., Kennedy, J., ... Baird, G. (2016). Emotional and behavioural problems in young children with autism spectrum disorder. Developmental Medicine &amp; Child Neurology, 58(2), 202-208.</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Dekker, M. C., Nunn, R., Einfeld, S. E., Tonge, B. J., &amp; Koot, H. M. (2002). Assessing emotional and behavioural problems in children with intellectual disability: Revising the factor structure of the Developmental Behavior Checklist. Journal of Autism and Developmental Disorders, 32(6), 601-610.</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Dekker, M. C., Nunn, R., &amp; Koot, H. M. (2002). Psychometric properties of the revised Developmental Behavior Checklist scales in Dutch children with intellectual disability. Journal of Intellectual Disability Research, 46(1), 61-75.</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Einfeld, S. E., &amp; Tonge, B. J. (1995). The Developmental Behaviour Checklist: The development and validation of an instrument to assess behavioral and emotional disturbance in children and </w:t>
      </w:r>
      <w:r>
        <w:rPr>
          <w:rFonts w:ascii="Times" w:hAnsi="Times" w:cs="Times"/>
          <w:sz w:val="20"/>
          <w:sz-cs w:val="20"/>
          <w:b/>
          <w:color w:val="595959"/>
        </w:rPr>
        <w:t xml:space="preserve">adolescents</w:t>
      </w:r>
      <w:r>
        <w:rPr>
          <w:rFonts w:ascii="Times" w:hAnsi="Times" w:cs="Times"/>
          <w:sz w:val="20"/>
          <w:sz-cs w:val="20"/>
          <w:color w:val="595959"/>
        </w:rPr>
        <w:t xml:space="preserve"> with mental retardation. Journal of Autism and Developmental Disorders, 25(2), 81-104.</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Jackson, D. N. (1971). The dynamics of structured personality tests: 1971. Psychological Review, 78(3), 229-248.</w:t>
      </w:r>
    </w:p>
    <w:p>
      <w:pPr/>
      <w:r>
        <w:rPr>
          <w:rFonts w:ascii="Times" w:hAnsi="Times" w:cs="Times"/>
          <w:sz w:val="24"/>
          <w:sz-cs w:val="24"/>
        </w:rPr>
        <w:t xml:space="preserve"/>
      </w:r>
    </w:p>
    <w:p>
      <w:pPr/>
      <w:r>
        <w:rPr>
          <w:rFonts w:ascii="Times" w:hAnsi="Times" w:cs="Times"/>
          <w:sz w:val="24"/>
          <w:sz-cs w:val="24"/>
        </w:rPr>
        <w:t xml:space="preserve"/>
      </w:r>
    </w:p>
    <w:p>
      <w:pPr>
        <w:spacing w:before="460" w:after="300"/>
      </w:pPr>
      <w:r>
        <w:rPr>
          <w:rFonts w:ascii="Times" w:hAnsi="Times" w:cs="Times"/>
          <w:sz w:val="20"/>
          <w:sz-cs w:val="20"/>
          <w:i/>
          <w:color w:val="595959"/>
        </w:rPr>
        <w:t xml:space="preserve">Review of the Developmental Behavior Checklist 2 by LAURA L. PENDERGAST, Associate Professor, and STEPHANIE JOSEPH, Doctoral Student, Temple University, Philadelphia, PA:</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DESCRIPTION. The Developmental Behavior Checklist 2 (DBC2) is a rating scale that is intended to assess emotional and behavioral problems among individuals (children, </w:t>
      </w:r>
      <w:r>
        <w:rPr>
          <w:rFonts w:ascii="Times" w:hAnsi="Times" w:cs="Times"/>
          <w:sz w:val="20"/>
          <w:sz-cs w:val="20"/>
          <w:b/>
          <w:color w:val="595959"/>
        </w:rPr>
        <w:t xml:space="preserve">adolescents</w:t>
      </w:r>
      <w:r>
        <w:rPr>
          <w:rFonts w:ascii="Times" w:hAnsi="Times" w:cs="Times"/>
          <w:sz w:val="20"/>
          <w:sz-cs w:val="20"/>
          <w:color w:val="595959"/>
        </w:rPr>
        <w:t xml:space="preserve">, and adults) with intellectual and developmental disability (IDD). The measure’s authors make a compelling argument that emotional and behavioral problems may manifest differently in individuals with IDD and that other measures may not sufficiently identify the challenges children and adults with IDD experience. The DBC2 includes forms for ratings by parents and teachers and by adults who are rating other adults. Forms can be completed online or on paper in approximately 20 minutes. All forms, regardless of administration format, are scored online. The test developers state that the DBC2 “can be used for clinical, educational, and research purposes” (manual, p. 3) but note that, if used diagnostically, the DBC2 should be used in conjunction with other comprehensive assessment tools. DBC2 scores should be interpreted by professionals with “relevant training and experience in psychological and educational assessments, as well as training or experience in child development, psychology, psychiatry, or other mental health professions” (manual, p. 3).</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parent form of the DBC2 includes 96 items and is intended for parents/guardians of children ages 4 to 18. The teacher form includes 94 items and is intended for teachers or teachers’ aides of children ages 4 to 18. The version for adults rated by others includes 107 items and can be completed by parents or other long-term adult caregivers for individuals ages 18 and older. Raters respond to each item using a 3-point scale (0 = not true as far as you know; 1 = somewhat true or sometimes true; 2 = very true or often true).</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For the parent and teacher versions of the DBC2, subscale scores (reported as T scores) are available for the following subscales: Disruptive, Self-Absorbed, Communication Disturbance, Anxiety, and Social Relating. The form for adults rated by caregivers includes the following subscales: Disruptive, Communication and Anxiety Disturbance, Self-Absorbed, Depressive, and Social Relating. Additional scores that can be calculated are a Mean Item Score, Proportion of Items Checked, and an Intensity Score (IS).</w:t>
      </w:r>
    </w:p>
    <w:p>
      <w:pPr>
        <w:spacing w:before="460" w:after="300"/>
      </w:pPr>
      <w:r>
        <w:rPr>
          <w:rFonts w:ascii="Times" w:hAnsi="Times" w:cs="Times"/>
          <w:sz w:val="24"/>
          <w:sz-cs w:val="24"/>
        </w:rPr>
        <w:t xml:space="preserve"/>
      </w:r>
    </w:p>
    <w:p>
      <w:pPr>
        <w:spacing w:before="460" w:after="300"/>
      </w:pPr>
      <w:r>
        <w:rPr>
          <w:rFonts w:ascii="Times" w:hAnsi="Times" w:cs="Times"/>
          <w:sz w:val="24"/>
          <w:sz-cs w:val="24"/>
        </w:rPr>
        <w:t xml:space="preserve"/>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DEVELOPMENT. The original version of the DBC (Einfeld &amp; Tonge, 1995) was developed using a sample from Australia. The items for the DBC parent and teacher versions were derived from the reviews of case files of 5,000 children and </w:t>
      </w:r>
      <w:r>
        <w:rPr>
          <w:rFonts w:ascii="Times" w:hAnsi="Times" w:cs="Times"/>
          <w:sz w:val="20"/>
          <w:sz-cs w:val="20"/>
          <w:b/>
          <w:color w:val="595959"/>
        </w:rPr>
        <w:t xml:space="preserve">adolescents</w:t>
      </w:r>
      <w:r>
        <w:rPr>
          <w:rFonts w:ascii="Times" w:hAnsi="Times" w:cs="Times"/>
          <w:sz w:val="20"/>
          <w:sz-cs w:val="20"/>
          <w:color w:val="595959"/>
        </w:rPr>
        <w:t xml:space="preserve"> with IDD. Subsequently, 7,000 children with intellectual disabilities in Australia were given what the test authors describe as comprehensive developmental and psychological assessments, and both parents and teachers provided ratings for the children. In regard to psychometric properties, the original version of the scale demonstrated a test-retest reliability coefficient of .72. The interval between testing was not reported. Concurrent validity with similar measures was established, and cut scores were derived using receiver operating characteristics (ROC) analyses. Structural validity of the original version was based on principal components analysis of a polychoric correlation matrix with oblique rotation. A five-factor solution was identified with the parent version and applied to the teacher version. An independent research team (Bontempo et al., 2008) conducted a confirmatory factor analysis, and its findings supported the general structure and two of the factors (Disruptive/Antisocial and Self Absorbed) but raised concern about the remaining three factors. The test authors state that the adult version of the original DBC followed a similar development process.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According to the test developers, the primary purpose for revising the DBC was to increase the extent to which the scale can be used internationally. Therefore, the revised version included child and adult reference samples from the United States. Additionally, minor wording changes were made to items to increase consistency with American English.</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normative samples for the DBC2 were from the United States. Participants in the child/</w:t>
      </w:r>
      <w:r>
        <w:rPr>
          <w:rFonts w:ascii="Times" w:hAnsi="Times" w:cs="Times"/>
          <w:sz w:val="20"/>
          <w:sz-cs w:val="20"/>
          <w:b/>
          <w:color w:val="595959"/>
        </w:rPr>
        <w:t xml:space="preserve">adolescent</w:t>
      </w:r>
      <w:r>
        <w:rPr>
          <w:rFonts w:ascii="Times" w:hAnsi="Times" w:cs="Times"/>
          <w:sz w:val="20"/>
          <w:sz-cs w:val="20"/>
          <w:color w:val="595959"/>
        </w:rPr>
        <w:t xml:space="preserve"> sample were 593 individuals ages 4 to 18, the majority of whom were rated by both a parent and a teacher (581 teacher ratings, 573 parent ratings). The samples included individuals from across the spectrum of severity of IDD (mild to profound; ns = 61-186). Participants from throughout the United States were included. Of the total sample, 58.5% were White, 17.6% Latino, 14.2% African American, 3% Asian, and 1.9% Native American. The adult sample was composed of 330 adults ages 18 to 89 (ns = 32-128 for profound to mild disability status). The demographics of the adult sample were similar to the child sample. In both the child and adult samples, participants had a mean IQ score between 40 and 60. All individuals in the sample had a diagnosis of IDD and were currently receiving some form of treatment.</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TECHNICAL.</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Reliability. In these reviewers’ opinion, interrater reliability was acceptable and consistent with what is commonly found in behavioral rating scales with relatively low correspondence between parent and teacher forms (interclass correlation coefficients of .76 for the Total Score and from .64-.80 for the subscales in the total sample). Test-retest reliability was evaluated over a period of 1 to 3 weeks with samples ranging in size from 29 to 42. Coefficients ranged from .86 to .98 for the parent and teacher forms and from .82 to .99 for the adult form. Internal consistency estimates for the Total Score and for the majority of the subscale scores on the DBC2-P and DBC2-T were sufficient (.80-.99). However, for some subgroups, particularly those with more severe IDD, reliability fell below .70 for the Anxiety and Social Relating subscales. The authors do note in the test manual that the Total Score has stronger psychometric support than the subscale scores (as is true with most measures).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Validity. In regard to validity, the scale developers described using the Jackson method developed in 1971 (Jackson, 1971) to evaluate consistency between the original and revised versions of the scale. Aside from the Jackson method, no analyses of validity evidence specific to the DBC2 were reported in the test manual. Instead, the developers relied primarily upon validity analyses from the original DBC, which had differently worded items and, more importantly in these reviewers’ view, a culturally different sample. No invariance or measurement equivalence studies were reported in the test manual. Likewise, cut scores from the original DBC were retained, and no new analyses were conducted to evaluate whether those cut scores were applicable in a United States population and with the revised items. In addition, the purposes for which practitioners should use the three supplementary scores (i.e., Mean Item Score, Proportion of Items Checked, and Intensity Score) are not clearly described, and psychometric support for the scores is not discussed in the manual.</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COMMENTARY. The DBC2 is a tool that appears to fill an important need. As noted by the measure’s authors, behavioral and emotional symptoms often manifest differently among individuals with IDD. The success of interventions for emotional and behavioral symptoms among those with IDD is dependent upon the ability to accurately assess symptoms with this population. The development of the DBC2 is a promising step in that direction.</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In regard to psychometric properties, fairly extensive analyses were conducted on the original DBC. Those findings largely supported the reliability, structural validity evidence, and concurrent evidence of validity of the original version of the DBC with an Australian sample—although independent researchers have raised some concerns about some of the subscale scores (Bontempo et al., 2008). For the revised version, the DBC2, reliability analyses were conducted with the new sample, and those generally supported the use of the scale, particularly the Total Score.</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No validity analyses of the DBC2 were reported. Moreover, no analyses examining the measurement invariance/ equivalence of the two versions of the scale or the two samples (United States and Australian) were reported. Yet, the cutoff scores for the original DBC were applied to the revised version without supporting evidence for such a decision. Despite the fact that the test authors describe the item changes as minor, neither the equivalence of the two versions nor the cultural equivalence of the United States and Australian samples should be assumed without evidence. Numerous researchers have written about the critical need to establish measurement invariance prior to using a measurement tool with a new cultural group (e.g., Chen, 2008; Pendergast, von der Embse, Kilgus, &amp; Eklund, 2017; Vandenberg &amp; Lance, 2000). In addition, the sample sizes used with the United States sample were quite small–particularly for the adult version. Finally, data were collected in treatment centers; thus, individuals in the DBC2 normative sample were likely to have been receiving treatment and may differ in important ways from individuals with IDD who may not be receiving treatment. Collectively, these issues raise concern regarding the extent to which the DBC2 is ready for use by practitioners.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SUMMARY. In summary, the DBC2 appears to be a promising tool that has the potential to support practitioners in addressing an important area of need. It is reasonably priced and relatively quick to administer, and online scoring is available. Unfortunately, virtually no validity analyses of the revised version that used a United States normative sample have been reported in the test manual. Therefore, while the DBC2 may be promising, further research and validation of scores from the revised version are necessary before the DBC2 can be recommended for use in school or clinical settings.</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spacing w:after="80"/>
      </w:pPr>
      <w:r>
        <w:rPr>
          <w:rFonts w:ascii="Times" w:hAnsi="Times" w:cs="Times"/>
          <w:sz w:val="34"/>
          <w:sz-cs w:val="34"/>
        </w:rPr>
        <w:t xml:space="preserve">Internet Addiction Test and Internet Addiction Test for Families</w:t>
      </w:r>
    </w:p>
    <w:p>
      <w:pPr>
        <w:spacing w:before="460" w:after="300"/>
      </w:pPr>
      <w:r>
        <w:rPr>
          <w:rFonts w:ascii="Times" w:hAnsi="Times" w:cs="Times"/>
          <w:sz w:val="24"/>
          <w:sz-cs w:val="24"/>
          <w:b/>
          <w:color w:val="333333"/>
        </w:rPr>
        <w:t xml:space="preserve">Full Text</w:t>
      </w:r>
    </w:p>
    <w:p>
      <w:pPr>
        <w:ind w:left="400" w:right="160"/>
        <w:spacing w:before="460" w:after="380"/>
      </w:pPr>
      <w:r>
        <w:rPr>
          <w:rFonts w:ascii="Times" w:hAnsi="Times" w:cs="Times"/>
          <w:sz w:val="20"/>
          <w:sz-cs w:val="20"/>
          <w:b/>
          <w:color w:val="333333"/>
        </w:rPr>
        <w:t xml:space="preserve">Listen</w:t>
      </w:r>
    </w:p>
    <w:p>
      <w:pPr>
        <w:spacing w:before="460" w:after="300"/>
      </w:pPr>
      <w:r>
        <w:rPr>
          <w:rFonts w:ascii="Times" w:hAnsi="Times" w:cs="Times"/>
          <w:sz w:val="20"/>
          <w:sz-cs w:val="20"/>
          <w:i/>
          <w:color w:val="595959"/>
        </w:rPr>
        <w:t xml:space="preserve">Review of the Internet Addiction Test and Internet Addiction Test for Families by RYAN L. FARMER, Assistant Professor, Oklahoma State University, Stillwater, OK:</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DESCRIPTION. The Internet Addiction Test and the Parent-Child Internet Addiction Test (PCIAT) are 20-item tests to be completed by the client and the client’s guardian (e.g., parent, teacher), respectively. All items are presented on a 5-point scale from rarely to always; alternatively, examinees can indicate that an item does not apply to their life or the life of the child. The IAT is designed for </w:t>
      </w:r>
      <w:r>
        <w:rPr>
          <w:rFonts w:ascii="Times" w:hAnsi="Times" w:cs="Times"/>
          <w:sz w:val="20"/>
          <w:sz-cs w:val="20"/>
          <w:b/>
          <w:color w:val="595959"/>
        </w:rPr>
        <w:t xml:space="preserve">adolescents</w:t>
      </w:r>
      <w:r>
        <w:rPr>
          <w:rFonts w:ascii="Times" w:hAnsi="Times" w:cs="Times"/>
          <w:sz w:val="20"/>
          <w:sz-cs w:val="20"/>
          <w:color w:val="595959"/>
        </w:rPr>
        <w:t xml:space="preserve"> and adults, whereas the PCIAT is intended for parents of persons ages 12 to 18. Both instruments aim to measure “characteristics and behaviors associated with compulsive use of the Internet” (IAT manual, p. 11). The PCIAT comes as part of the IAT for Families (IAT-F), which also includes the Problematic and Risky Media Use in Children Checklist. The checklist contains eight yes-or-no items regarding children ages 3 to 11 and is designed to provide information about how children use technology and associated devices. The IAT and both components of the IAT-F can be individually or group administered either as a rating form or with items read aloud. The three measures include a practice question and comprehension check that assesses examinee understanding of the directions; if the examinee fails the practice question twice, testing is discontinued. Additionally, each component includes a personal information page that obtains examinee identifying information as well as information about the types of Internet sites the examinee uses.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IAT and PCIAT produce a Total score with a maximum of 100, with higher levels indicating greater severity of Internet dependency. The test author provides cut points to facilitate users’ interpretation of severity (i.e., 0-30 = none; 31-49 = mild; 50-79 = moderate; 80-100 = severe). Additionally, the IAT provides six domain scores: Salience, Excessive Use, Neglect Work, Anticipation, Lack of Control, and Neglect Social Life. The PCIAT provides three domain scores: Attention, Social Behavior, and Aggression. For both the IAT and PCIAT, domain scores are calculated by averaging the scores of the items that contribute to a particular domain. The test author recommends that domain scores be interpreted consistent with the scale that examinees used to respond to the items. The checklist has a maximum score of 8, and the test author advises that “answering yes to at least three of these behaviors in children … indicates that they are exhibiting risky or problematic behaviors associated with excessive screen and device use” (IAT-F manual, p. 19).</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administration instructions for the three instruments are clearly written and easy to follow. The IAT, PCIAT, and checklist each may be completed in 15 minutes or less, and summing of the Total score is quick and easy. The test author provides a domain interpretation guide to facilitate scoring of domains for the IAT and PCIAT, making the process efficient and potentially reducing calculation errors.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DEVELOPMENT. In developing the IAT and PCIAT, the test author sought to create a test that would sample Internet addiction behaviors that are similar to those of established addictions (e.g., gambling) to facilitate classification efforts of Internet addiction disorders and to aid in pre-employment screening (see IAT manual, p. 10). The Internet Addiction Questionnaire (IADQ; Young, 1998) was first developed to facilitate diagnosis. Research using the IADQ expanded upon the research literature and helped to identify associated features of Internet addiction including excessive use of the Internet, neglect of responsibilities, withdrawal, and covert Internet behaviors. Research exploring features that differentiate compulsive versus normal Internet users (e.g., Greenfield, 1999) illuminated classification elements beyond excessive use to include preoccupation with the Internet, covert Internet-related behavior, preference of Internet-related behaviors over social or non-Internet activities, use of the Internet to escape, and functional impairment. The IADQ was adapted in light of extant research. The IAT, and subsequently the PCIAT, were direct results.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In contrast to the IAT and PCIAT, the checklist was developed to provide clinicians with a survey of a child-client’s media use in general. The test author cites the absence of a standard tool for collecting data regarding young children’s use of (a) Internet and computers, (b) television and movies, (c) video games, (d) mobile media, (e) music, (f) reading and print media, and (g) social media. In addition to collecting basic information about the duration of time spent with such devices, the checklist is used to assess behavioral impairments related to media use, such as tantrums or aggression when asked to stop using devices.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TECHNICAL. The IAT and IAT-F manuals do not report standardization procedures or data resulting from such procedures. The test author describes the six IAT domain scores as having high to moderate reliability based on independent research (Widyanto &amp; McMurran, 2004) but does not report alpha coefficients or other reliability estimates within the test manual. Widyanto and McMurran (2004) reported adequate or better alpha reliability for Salience (.82), Excessive Use (.77), Lack of Self-Control (.76), and Neglect Work (.75) whereas Anticipation (.61) and Neglect Social Life (.54), were below the .70 criterion for adequate reliability (Hunsley &amp; Mash, 2018). Coefficient alpha reliability for the Total score was not presented but was available via a literature search as .92-93. No reliability estimates were reported for the PCIAT or the checklist.</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Evidence of validity to support the use of scores from the IAT and IAT-F is limited. The test author describes an exploratory factor analysis (N = 86) of the IAT conducted by Widyanto and McMurran (2004) in which factors representing the six domains were identified. However, alternative factor structures published in the literature have identified unidimensional (Khazaal et al., 2008; Korkeila, Kaarlas, Jääskeläinen, Vahlberg, &amp; Taiminen, 2010), two-factor (Korkeila et al., 2010), and three-factor structures (Chang &amp; Law, 2008). Similar structural ambiguity is present for the IAT with younger populations (e.g., Watters, Keefer, Kloosterman, Summerfeldt, &amp; Parker, 2013). The test author does not provide empirical support for the factor structure of the PCIAT.</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External evidence of validity is provided for the IAT in the form of weak correlations (r between .004 and .344) between scores and behaviors of interest such as an individual’s average use of the Internet and personal use of the Internet. Most factors demonstrated significant correlations with at least one behavior. For example, Salience was significantly correlated with personal use (.321; p &lt;.01) and average use (.263; p &lt; .05), Lack of Self-Control was significantly correlated with personal use (.223; p &lt; .05), and Neglect Social Life was significantly correlated with duration of use (.261, p &lt; .05) and personal use (.216; p &lt; .05). The Total score was significantly correlated with average use (.217; p &lt; .05) and personal use (.299; p &lt; .01).</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No data are provided to support the diagnostic utility of the three instruments. The validity evidence reported in the IAT and IAT-F manuals as well as the conflicting data presented in the extant literature suggest that these instruments fall short of the desired level of validity evidence called for in the Standards for Educational and Psychological Testing (American Educational Research Association, American Psychological Association, &amp; National Council on Measurement in Education, 2014) and in published accounts (Hunsley &amp; Mash, 2018).</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COMMENTARY. The IAT and IAT-F may be useful in situations warranting specific assessment of behaviors related to Internet addiction. However, a clear theoretical model for the scale and supporting evidence are lacking at this time. First, the test was adapted from the IADQ to model the Diagnostic and Statistical Manual of Mental Disorders (4th ed.; American Psychiatric Association, 1994) gambling criteria; five domains were then added based on exploratory factor analysis. Given that the test was developed to “measure the severity of Internet addiction” (IAT manual, p. 10), that the EFA upon which the six domains were extracted was conducted with a small sample and has not been replicated, the conflicting factor structures reported in the literature, and the inadequate reliability of two domain scores, it is unclear how best to interpret the IAT. Due to a deficit of research, no such analysis can be provided for the components of the IAT-F.</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Second, total and domain score reliability estimates are not provided in the examiner’s manual of either the IAT or the IAT-F. Although reliability estimates can be obtained from external publications for the IAT, this is not true for either component of the IAT-F. Based on Hunsley and Mash’s (2018) criteria, only the IAT’s Total score (see Jelenchick, Becker, &amp; Moreno, 2012) and four of the six domain scores meet the minimum criteria for reliability (alpha coefficients of .70 or greater). More so, it is problematic that a clinician must conduct a literature search to obtain initial estimates.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Finally, the test author suggests that the IAT and related scales are intended for use in the diagnosis or risk assessment of Internet addiction and that they also may be used for screening purposes or in professional situations. However, the author offers minimal validity evidence for the scale, no diagnostic utility for the scale, and no data suggesting that the scale has adequate predictive ability for use in a professional sector. Cut points are provided in both the IAT and IAT-F manuals, but it is unclear how these cut points were determined; the test author refers to published validity evidence but provides no citations.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SUMMARY. The test author has developed scales that have greatly facilitated research on Internet addiction. More so, they can be administered, scored, and interpreted efficiently. The author wisely based the development of the IAT on established methods used in the assessment of related disorders. However, theoretical ambiguity and limited psychometric evidence severely limit the current utility of the scales for clinical practice. There is continued doubt as to whether the IAT or the scales included within the IAT-F provide incremental utility beyond conducting a targeted clinical interview related to Internet-use behaviors.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REVIEWER'S REFERENCES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American Educational Research Association, American Psychological Association, &amp; National Council on Measurement in Education. (2014). Standards for educational and psychological testing. Washington, DC: American Educational Research Association.</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American Psychiatric Association. (1994). Diagnostic and statistical manual of mental disorders (4th ed.). Washington, DC: Author.</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Chang, M. K., &amp; Law, S. P. M. (2008). Factor structure for Young’s Internet Addiction Test: A confirmatory study. Computers in Human Behavior, 24, 2597-2619.</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Greenfield, D. N. (1999, August). Internet addiction: Disinhibition, accelerated intimacy, and other theoretical considerations. Paper presented at the 107th annual meeting of the American Psychological Association, Boston, MA.</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Hunsley, J., &amp; Mash, E. J. (2018). A guide to assessments that work (2nd ed.). New York, NY: Oxford University Press.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Jelenchick, L. A., Becker, T., &amp; Moreno, M. A. (2012). Assessing the psychometric properties of the Internet Addiction Test (IAT) in US college students. Psychiatry Research, 196, 296-301.</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Khazaal, Y., Billieux, J., Thorens, G., Khan, R., Louati, Y., Scarlatti, E., ... Zullino, D. (2008). French validation of the Internet Addiction Test. CyberPsychology &amp; Behavior, 11, 703-706.</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Korkeila, J., Kaarlas, S., Jääskeläinen, M., Vahlberg, T., &amp; Taiminen, T. (2010). Attached to the web—harmful use of the Internet and its correlates. European Psychiatry, 25, 236-241.</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Watters, C. A., Keefer, K. V., Kloosterman, P. H., Summerfeldt, L. J., &amp; Parker, J. D. A. (2013). Examining the structure of the Internet Addiction Test in </w:t>
      </w:r>
      <w:r>
        <w:rPr>
          <w:rFonts w:ascii="Times" w:hAnsi="Times" w:cs="Times"/>
          <w:sz w:val="20"/>
          <w:sz-cs w:val="20"/>
          <w:b/>
          <w:color w:val="595959"/>
        </w:rPr>
        <w:t xml:space="preserve">adolescents</w:t>
      </w:r>
      <w:r>
        <w:rPr>
          <w:rFonts w:ascii="Times" w:hAnsi="Times" w:cs="Times"/>
          <w:sz w:val="20"/>
          <w:sz-cs w:val="20"/>
          <w:color w:val="595959"/>
        </w:rPr>
        <w:t xml:space="preserve">: A bifactor approach. Computers in Human Behavior, 29, 2294-2302.</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Widyanto, L., &amp; McMurran, M. (2004). The psychometric properties of the Internet Addiction Test. CyberPsychology &amp; Behavior, 7, 443-450.</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Young, K. S. (1998). Internet addiction: The emergence of a new clinical disorder. CyberPsychology &amp; Behavior, 1, 237-244.</w:t>
      </w:r>
    </w:p>
    <w:p>
      <w:pPr/>
      <w:r>
        <w:rPr>
          <w:rFonts w:ascii="Times" w:hAnsi="Times" w:cs="Times"/>
          <w:sz w:val="24"/>
          <w:sz-cs w:val="24"/>
        </w:rPr>
        <w:t xml:space="preserve"/>
      </w:r>
    </w:p>
    <w:p>
      <w:pPr/>
      <w:r>
        <w:rPr>
          <w:rFonts w:ascii="Times" w:hAnsi="Times" w:cs="Times"/>
          <w:sz w:val="24"/>
          <w:sz-cs w:val="24"/>
        </w:rPr>
        <w:t xml:space="preserve"/>
      </w:r>
    </w:p>
    <w:p>
      <w:pPr>
        <w:spacing w:before="460" w:after="300"/>
      </w:pPr>
      <w:r>
        <w:rPr>
          <w:rFonts w:ascii="Times" w:hAnsi="Times" w:cs="Times"/>
          <w:sz w:val="20"/>
          <w:sz-cs w:val="20"/>
          <w:i/>
          <w:color w:val="595959"/>
        </w:rPr>
        <w:t xml:space="preserve">Review of the Internet Addiction Test and Internet Addiction Test for Families by SUZANNE YOUNG, Professor of Educational Research, University of Wyoming, Laramie, WY:</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DESCRIPTION. The Internet Addiction Test (IAT) and Internet Addiction Test for Families (IAT-F) were published in 2017. The purpose of the IAT is to assess Internet addiction in adults and </w:t>
      </w:r>
      <w:r>
        <w:rPr>
          <w:rFonts w:ascii="Times" w:hAnsi="Times" w:cs="Times"/>
          <w:sz w:val="20"/>
          <w:sz-cs w:val="20"/>
          <w:b/>
          <w:color w:val="595959"/>
        </w:rPr>
        <w:t xml:space="preserve">adolescents</w:t>
      </w:r>
      <w:r>
        <w:rPr>
          <w:rFonts w:ascii="Times" w:hAnsi="Times" w:cs="Times"/>
          <w:sz w:val="20"/>
          <w:sz-cs w:val="20"/>
          <w:color w:val="595959"/>
        </w:rPr>
        <w:t xml:space="preserve">; similarly, the IAT-F is used for adults to assess Internet addiction in children. The IAT-F consists of the Parent-Child Internet Addiction Test (PCIAT) and the Problematic and Risky Media Use in Children Checklist.</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IAT should be administered by a professional or paraprofessional who has clinical experience. The test, which can be completed in 5 to 15 minutes, can be administered individually or in groups, either self-administered or with verbal assistance from the examiner. The examinees must be able to read and comprehend the instructions and test items, which are designed for reading at a minimum of seventh grade reading level. If examinees are unable to understand instructions, the examiner is expected to administer directions verbally. The test includes a cover page with personal information as well as information about the amount of time spent on various Internet activities. The cover page is followed by a 20-item set of statements related to Internet addiction. The examinee is asked to rate each item on a frequency scale from rarely (1) to always (5). Scoring is accomplished by totaling all ratings, yielding an overall score that ranges from 0 to 100. The total score provides an indication of the severity of Internet addiction and problems with Internet use and is interpreted as normal, mild, moderate, or severe. In addition, average scores for six groups of items are calculated so that the examiner may further assess Internet addiction. The six groups of items are the following: Salience (5 items), Excessive Use (5 items), Neglect Work (3 items), Anticipation (2 items), Lack of Control (3 items), and Neglect Social Life (2 items). The averages for each group of items are rounded to the nearest whole number and interpreted by using the anchor descriptors for the scale (rarely, occasionally, frequently, often, and always). The examiner interprets the scores along with consideration of other disorders that may be present.</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PCIAT is completed by a parent (or another adult) of children 12 to 18 years old, either individually or in groups. The test is either self-administered or administered orally, for those with difficulties in understanding the written instructions and items. Similar to the IAT, the examiner must determine whether respondents can understand the written information; if respondents are unable to understand the information, the test should be administered orally. The test requires 5 to 10 minutes if self-administered and approximately 15 minutes if administered orally. Examinees are first asked to complete the child’s personal information and to estimate the percentage of time that the child spends on the Internet engaging in certain types of activities such as instant messaging, emailing, and shopping. The PCIAT items are rated using a scale from rarely (1) to always (5). It includes 20 items, and the examiner computes a total for all 20 items as an indication of the severity of the child’s overall Internet addiction. The test manual provides a description for four ranges of Total scores (none, mild, moderate, and severe). In addition to the total score, the test items are associated with three different domains: Attention (6 items), Social Behavior (8 items), and Aggressive Behavior (8 items). The examiner averages the scores for each domain, rounds to the nearest whole number, and interprets the averages using the anchors on the frequency scale (rarely, occasionally, frequently, often, and always). The examiner interprets the scores along with consideration of other disorders that may be present as well as the child’s environment at school and at home.</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Problematic and Risky Media Use in Children Checklist is designed to assess screen or device use for children ages 3 to 11. It is completed by parents or other adults, individually or in small groups. Similar to the PCIAT, respondents’ reading abilities should be evaluated to determine whether the checklist should be self-administered or administered verbally. Respondents are asked to complete the personal information sheet for the child and then to complete the checklist. They choose yes or no for each of the eight items on the checklist; three or more items that are checked yes indicate problematic or risky behavior, potentially leading to Internet addiction in adolescence. Both the PCIAT and the Problematic and Risky Media Use in Children Checklist should be administered by a qualified clinician if the tests are being used for diagnosis. If the goal is for screening, they may be administered by others such as parents or teachers.</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DEVELOPMENT. The IAT was developed based on the Internet Addiction Diagnostic Questionnaire (IADQ) along with research on compulsive online behaviors. The IADQ was developed in the late 1990s by Kimberly Young (Young, 1998) and initially titled Diagnostic Questionnaire (DQ) to screen for addictive Internet use. The IADQ was based on the fourth edition of the Diagnostic and Statistical Manual of Mental Disorders (DSM-IV; American Psychiatric Association [APA], 1994) criteria for pathological gambling.</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To further support the development of the IAT, research on compulsive online behavior suggests that Internet addiction is related to other psychiatric disorders such as substance use disorder, attention-deficit/hyperactivity disorder, depression, hostility, and aggression (Ko, Yen, Yen, Chen, &amp; Chen, 2012). Internet addiction appears to be difficult to assess for several reasons, most importantly because use of the Internet is integrated into many practical daily life activities. Items on the IAT were developed to differentiate normal use from compulsive use.</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PCIAT and the Problematic and Risky Media Use in Children Checklist were developed for use in clinical assessments of children. They were adapted from the IAT so that adults could provide perspectives on a child’s Internet use. Items on the PCIAT are very similar to items on the IAT; the checklist items are less comprehensive and simpler to assess. Both assessments allow the examiner to determine whether the child’s behavior is addictive or has potential to be addictive.</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TECHNICAL. Validity and reliability aspects of the IAT are presented in the test manual. Content evidence of validity is supported due to the thorough grounding of the items in the literature as well as the DSM-IV (APA, 1994). The test author provides additional information based on a validation study conducted by Widyanto and McMurran (2004). Widyanto and McMurran used a sample of 86 volunteer participants, 29 males and 57 females, who were contacted personally or via the Internet. Using a principal components extraction method with a varimax rotation, a factor analysis yielded six factors: Salience, Excessive Use, Neglect Work, Anticipation, Lack of Self-Control, and Neglect Social Life. The six factors explained 68.16% of the variance, with Salience explaining the most variance at 35.8%. Alpha coefficients were determined for each factor and ranged from .54 to .82, indicating the factors were at least moderately internally consistent. Correlations were found among the six factors, the Total score, Internet use, and participant age. The six factors were positively correlated with each other, with the strongest correlation of .62 between Salience and Excessive Use and the weakest correlation of .23 between Neglect Social Life and Neglect Work. Correlations between the Total score and the amount of use suggested higher general and personal Internet use were related to an increase in problems with respondents’ Internet use. Overall, the study’s authors suggest that the IAT has strong potential as a reliable and valid measure of Internet addiction but that it needs further testing due to the small volunteer sample.</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test manual for IAT-F offers no technical data for consideration. However, because both the PCIAT and the Problematic and Risky Media Use in Children Checklist are based on the IAT, by extension there is some content evidence of validity. The reference list in the test manual provides support for research on addiction in children and </w:t>
      </w:r>
      <w:r>
        <w:rPr>
          <w:rFonts w:ascii="Times" w:hAnsi="Times" w:cs="Times"/>
          <w:sz w:val="20"/>
          <w:sz-cs w:val="20"/>
          <w:b/>
          <w:color w:val="595959"/>
        </w:rPr>
        <w:t xml:space="preserve">adolescents</w:t>
      </w:r>
      <w:r>
        <w:rPr>
          <w:rFonts w:ascii="Times" w:hAnsi="Times" w:cs="Times"/>
          <w:sz w:val="20"/>
          <w:sz-cs w:val="20"/>
          <w:color w:val="595959"/>
        </w:rPr>
        <w:t xml:space="preserve">, including Internet addiction, but research on the valid and reliable use of the PCIAT and the Problematic and Risky Media Use in Children Checklist is not available from the test author.</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COMMENTARY. The IAT is designed for users to assess the degree to which they are addictive Internet users, use that may be described as normal, mild, moderate, or severe in its addiction. The test manual provides information on how to administer, score, and interpret results of the test. A validation study supports the technical aspects of the test for a small volunteer sample of Internet users; the authors of the study suggest that further research is necessary.</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The manual for the PCIAT and the Problematic and Risky Media Use in Children Checklist also provides detailed information about administering, scoring, and interpreting the two tests that together comprise the Internet Addiction Test for Families (IAT-F). The test author notes that the two tests are adapted from the IAT but otherwise provides no validity or reliability information.</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SUMMARY. The IAT and the IAT-F provide test administrators an opportunity to assess Internet addiction in children, </w:t>
      </w:r>
      <w:r>
        <w:rPr>
          <w:rFonts w:ascii="Times" w:hAnsi="Times" w:cs="Times"/>
          <w:sz w:val="20"/>
          <w:sz-cs w:val="20"/>
          <w:b/>
          <w:color w:val="595959"/>
        </w:rPr>
        <w:t xml:space="preserve">adolescents</w:t>
      </w:r>
      <w:r>
        <w:rPr>
          <w:rFonts w:ascii="Times" w:hAnsi="Times" w:cs="Times"/>
          <w:sz w:val="20"/>
          <w:sz-cs w:val="20"/>
          <w:color w:val="595959"/>
        </w:rPr>
        <w:t xml:space="preserve">, and adults. The IAT has been studied and used extensively, but it is lacking in psychometric data. Psychometric data for the PCIAT and the Problematic and Risky Media Use in Children Checklist are not available. Additionally, the manuals for the IAT and the IAT-F contain a number of errors that can and should be easily corrected. In spite of these limitations, Internet addiction is a serious concern, especially with young children and </w:t>
      </w:r>
      <w:r>
        <w:rPr>
          <w:rFonts w:ascii="Times" w:hAnsi="Times" w:cs="Times"/>
          <w:sz w:val="20"/>
          <w:sz-cs w:val="20"/>
          <w:b/>
          <w:color w:val="595959"/>
        </w:rPr>
        <w:t xml:space="preserve">adolescents</w:t>
      </w:r>
      <w:r>
        <w:rPr>
          <w:rFonts w:ascii="Times" w:hAnsi="Times" w:cs="Times"/>
          <w:sz w:val="20"/>
          <w:sz-cs w:val="20"/>
          <w:color w:val="595959"/>
        </w:rPr>
        <w:t xml:space="preserve">, and Young’s tests of Internet addiction hold great promise as strong assessments in both formal and informal settings. In summary, this reviewer highly recommends the continued development of the IAT and the IAT-F and cautions users to interpret results in combination with other sources of information.</w:t>
      </w:r>
    </w:p>
    <w:p>
      <w:pPr>
        <w:spacing w:before="460" w:after="300"/>
      </w:pPr>
      <w:r>
        <w:rPr>
          <w:rFonts w:ascii="Times" w:hAnsi="Times" w:cs="Times"/>
          <w:sz w:val="24"/>
          <w:sz-cs w:val="24"/>
        </w:rPr>
        <w:t xml:space="preserve"/>
      </w:r>
    </w:p>
    <w:p>
      <w:pPr>
        <w:spacing w:before="460" w:after="300"/>
      </w:pPr>
      <w:r>
        <w:rPr>
          <w:rFonts w:ascii="Times" w:hAnsi="Times" w:cs="Times"/>
          <w:sz w:val="20"/>
          <w:sz-cs w:val="20"/>
          <w:color w:val="595959"/>
        </w:rPr>
        <w:t xml:space="preserve">REVIEWER’S REFERENCES</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CocoaOOXMLWriter/1671.6</generator>
</meta>
</file>